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76" w:lineRule="auto"/>
        <w:ind/>
        <w:jc w:val="center"/>
        <w:rPr>
          <w:rFonts w:ascii="Times New Roman" w:hAnsi="Times New Roman" w:eastAsia="Times New Roman" w:cs="Times New Roman"/>
          <w:color w:val="212226"/>
          <w:sz w:val="26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lang w:eastAsia="ru-RU"/>
        </w:rPr>
        <w:t xml:space="preserve">Федеральное государственное бюджетное учреждение науки Южно-Уральский федеральный научный центр минералогии и геоэкологии Уральского отделения Российской академии наук объявляет о проведении конкурса на замещение вакантных должностей научных работников:</w:t>
      </w:r>
      <w:r>
        <w:rPr>
          <w:rFonts w:ascii="Times New Roman" w:hAnsi="Times New Roman" w:eastAsia="Times New Roman" w:cs="Times New Roman"/>
          <w:color w:val="212226"/>
          <w:sz w:val="26"/>
          <w:szCs w:val="24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</w:rPr>
      </w:r>
    </w:p>
    <w:p>
      <w:pPr>
        <w:pBdr/>
        <w:shd w:val="clear" w:color="auto" w:fill="ffffff"/>
        <w:spacing w:after="0" w:line="276" w:lineRule="auto"/>
        <w:ind/>
        <w:jc w:val="center"/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none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none"/>
          <w:lang w:val="en-US"/>
        </w:rPr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none"/>
          <w:lang w:val="en-US"/>
        </w:rPr>
      </w:r>
    </w:p>
    <w:p>
      <w:pPr>
        <w:pBdr/>
        <w:shd w:val="clear" w:color="auto" w:fill="ffffff"/>
        <w:spacing w:after="0" w:line="276" w:lineRule="auto"/>
        <w:ind/>
        <w:jc w:val="center"/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none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lang w:eastAsia="ru-RU"/>
        </w:rPr>
        <w:t xml:space="preserve">Институт минералогии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lang w:val="en-US"/>
        </w:rPr>
        <w:t xml:space="preserve">  </w:t>
      </w:r>
      <w:r>
        <w:rPr>
          <w:rFonts w:ascii="Times New Roman" w:hAnsi="Times New Roman" w:eastAsia="Times New Roman" w:cs="Times New Roman"/>
          <w:b/>
          <w:color w:val="212226"/>
          <w:sz w:val="26"/>
          <w:szCs w:val="24"/>
          <w:highlight w:val="none"/>
          <w:lang w:val="en-US"/>
        </w:rPr>
      </w:r>
      <w:r>
        <w:rPr>
          <w:rFonts w:ascii="Times New Roman" w:hAnsi="Times New Roman" w:eastAsia="Times New Roman" w:cs="Times New Roman"/>
          <w:b/>
          <w:color w:val="212226"/>
          <w:sz w:val="26"/>
          <w:szCs w:val="24"/>
          <w:highlight w:val="none"/>
          <w:lang w:val="en-US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/>
        <w:ind w:right="0" w:firstLine="0" w:left="0"/>
        <w:rPr>
          <w:rFonts w:ascii="Times New Roman" w:hAnsi="Times New Roman" w:eastAsia="Times New Roman" w:cs="Times New Roman"/>
          <w:color w:val="auto"/>
          <w:highlight w:val="white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highlight w:val="white"/>
        </w:rPr>
        <w:t xml:space="preserve">дата начала приема заявок: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  <w:lang w:val="en-US"/>
        </w:rPr>
        <w:t xml:space="preserve">20.02.2025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auto"/>
          <w:sz w:val="26"/>
          <w:highlight w:val="white"/>
        </w:rPr>
        <w:t xml:space="preserve">дата окончания приема заявок: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  <w:lang w:val="en-US"/>
        </w:rPr>
        <w:t xml:space="preserve">14.03.2025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  <w:br/>
      </w:r>
      <w:r>
        <w:rPr>
          <w:rFonts w:ascii="Times New Roman" w:hAnsi="Times New Roman" w:eastAsia="Times New Roman" w:cs="Times New Roman"/>
          <w:b/>
          <w:color w:val="auto"/>
          <w:sz w:val="26"/>
          <w:highlight w:val="white"/>
        </w:rPr>
        <w:t xml:space="preserve">дата проведения конкурса: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highlight w:val="white"/>
          <w:lang w:val="en-US"/>
        </w:rPr>
        <w:t xml:space="preserve">01.04.2025</w:t>
      </w:r>
      <w:r>
        <w:rPr>
          <w:rFonts w:ascii="Times New Roman" w:hAnsi="Times New Roman" w:eastAsia="Times New Roman" w:cs="Times New Roman"/>
          <w:color w:val="auto"/>
          <w:highlight w:val="white"/>
        </w:rPr>
      </w:r>
      <w:r>
        <w:rPr>
          <w:rFonts w:ascii="Times New Roman" w:hAnsi="Times New Roman" w:eastAsia="Times New Roman" w:cs="Times New Roman"/>
          <w:color w:val="auto"/>
          <w:highlight w:val="white"/>
        </w:rPr>
      </w:r>
    </w:p>
    <w:p>
      <w:pPr>
        <w:pBdr/>
        <w:shd w:val="clear" w:color="auto" w:fill="ffffff"/>
        <w:spacing w:after="0" w:line="276" w:lineRule="auto"/>
        <w:ind/>
        <w:jc w:val="center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  <w:lang w:eastAsia="ru-RU"/>
        </w:rPr>
        <w:t xml:space="preserve">Лаборатория междисциплинарных исследований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bCs/>
          <w:spacing w:val="-1"/>
          <w:sz w:val="26"/>
          <w:szCs w:val="24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 xml:space="preserve">Направление науки: 1.5. Науки о Земле</w:t>
      </w:r>
      <w:r>
        <w:rPr>
          <w:rFonts w:ascii="Times New Roman" w:hAnsi="Times New Roman" w:cs="Times New Roman"/>
          <w:b/>
          <w:bCs/>
          <w:spacing w:val="-1"/>
          <w:sz w:val="26"/>
          <w:szCs w:val="24"/>
          <w:highlight w:val="white"/>
        </w:rPr>
      </w:r>
      <w:r>
        <w:rPr>
          <w:rFonts w:ascii="Times New Roman" w:hAnsi="Times New Roman" w:cs="Times New Roman"/>
          <w:b/>
          <w:bCs/>
          <w:spacing w:val="-1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b/>
          <w:sz w:val="26"/>
          <w:szCs w:val="24"/>
          <w:highlight w:val="white"/>
        </w:rPr>
      </w:pPr>
      <w:r>
        <w:rPr>
          <w:rFonts w:ascii="Times New Roman" w:hAnsi="Times New Roman" w:cs="Times New Roman"/>
          <w:b/>
          <w:sz w:val="26"/>
          <w:szCs w:val="24"/>
          <w:highlight w:val="white"/>
        </w:rPr>
        <w:t xml:space="preserve">Направление фундаментальных и поисковых научных исследований: </w:t>
      </w:r>
      <w:r>
        <w:rPr>
          <w:rFonts w:ascii="Times New Roman" w:hAnsi="Times New Roman" w:cs="Times New Roman"/>
          <w:b/>
          <w:sz w:val="26"/>
          <w:szCs w:val="24"/>
          <w:highlight w:val="white"/>
        </w:rPr>
      </w:r>
      <w:r>
        <w:rPr>
          <w:rFonts w:ascii="Times New Roman" w:hAnsi="Times New Roman" w:cs="Times New Roman"/>
          <w:b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1.5.3. Минералогия и петрология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1.5.5. Геология твердых полезных ископаемых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cs="Times New Roman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Тематика исследований: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  <w:t xml:space="preserve">Минералого-геохимические маркеры минерального сырья древних и современных производств Центральной Евразии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  <w:u w:val="single"/>
        </w:rPr>
      </w:pPr>
      <w:r>
        <w:rPr>
          <w:rFonts w:ascii="Times New Roman" w:hAnsi="Times New Roman" w:cs="Times New Roman"/>
          <w:sz w:val="26"/>
          <w:szCs w:val="24"/>
          <w:highlight w:val="cyan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  <w:u w:val="singl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  <w:u w:val="single"/>
        </w:rPr>
      </w:r>
    </w:p>
    <w:p>
      <w:pPr>
        <w:pStyle w:val="733"/>
        <w:numPr>
          <w:ilvl w:val="0"/>
          <w:numId w:val="3"/>
        </w:numPr>
        <w:pBdr/>
        <w:shd w:val="clear" w:color="auto" w:fill="ffffff"/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младший научный сотрудник (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0.25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единицы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е опыт научной работы в период обучения. При наличии ученой степени, окончании аспирантуры и прохождении стажировки – без предъявления требований к стажу работы. Наличие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на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12226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полная занятость. Должностной оклад –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29560.0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(7390.0 рублей/месяц при 0.25 ставки)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со степенью кандидата наук 33286.0 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(8321.5 рублей/месяц при 0.25 ставки)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РАН.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  <w:lang w:eastAsia="ru-RU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cyan"/>
        </w:rPr>
      </w:r>
    </w:p>
    <w:p>
      <w:pPr>
        <w:pBdr/>
        <w:shd w:val="clear" w:color="auto" w:fill="ffffff"/>
        <w:spacing w:after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младший научный сотрудник (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1.0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штатн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</w:t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высшее профессиональное образование и опыт работы по соответствующей специальности,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навыки работы на СЭМ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val="en-US"/>
        </w:rPr>
        <w:t xml:space="preserve">Tescan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При наличии ученой степени, окончании аспирантуры и прохождении стажировки – без предъявления требований к стажу работы. Наличие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на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12226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полная занятость. Должностной оклад – 29560.0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со степенью кандидата наук – 33286.0 рублей/месяц.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РАН.</w:t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none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sz w:val="26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sz w:val="26"/>
          <w:u w:val="single"/>
        </w:rPr>
        <w:t xml:space="preserve">Лаборатория минералогии рудогенеза</w:t>
      </w:r>
      <w:r>
        <w:rPr>
          <w:rFonts w:ascii="Times New Roman" w:hAnsi="Times New Roman" w:eastAsia="Times New Roman" w:cs="Times New Roman"/>
          <w:sz w:val="26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sz w:val="26"/>
          <w:szCs w:val="24"/>
          <w:highlight w:val="none"/>
          <w:u w:val="single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color w:val="212226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</w:rPr>
        <w:t xml:space="preserve">Направление науки:</w:t>
      </w:r>
      <w:r>
        <w:rPr>
          <w:rFonts w:ascii="Times New Roman" w:hAnsi="Times New Roman" w:eastAsia="Times New Roman" w:cs="Times New Roman"/>
          <w:color w:val="212226"/>
        </w:rPr>
      </w:r>
      <w:r>
        <w:rPr>
          <w:rFonts w:ascii="Times New Roman" w:hAnsi="Times New Roman" w:eastAsia="Times New Roman" w:cs="Times New Roman"/>
          <w:color w:val="21222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color w:val="212226"/>
        </w:rPr>
      </w:pPr>
      <w:r>
        <w:rPr>
          <w:rFonts w:ascii="Times New Roman" w:hAnsi="Times New Roman" w:eastAsia="Times New Roman" w:cs="Times New Roman"/>
          <w:b w:val="0"/>
          <w:color w:val="212226"/>
          <w:sz w:val="26"/>
        </w:rPr>
        <w:t xml:space="preserve">1.5. Науки о Земле</w:t>
      </w:r>
      <w:r>
        <w:rPr>
          <w:rFonts w:ascii="Times New Roman" w:hAnsi="Times New Roman" w:eastAsia="Times New Roman" w:cs="Times New Roman"/>
          <w:color w:val="212226"/>
        </w:rPr>
      </w:r>
      <w:r>
        <w:rPr>
          <w:rFonts w:ascii="Times New Roman" w:hAnsi="Times New Roman" w:eastAsia="Times New Roman" w:cs="Times New Roman"/>
          <w:color w:val="21222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</w:rPr>
        <w:t xml:space="preserve">Направления исследований:</w:t>
      </w:r>
      <w:r>
        <w:rPr>
          <w:rFonts w:ascii="Times New Roman" w:hAnsi="Times New Roman" w:eastAsia="Times New Roman" w:cs="Times New Roman"/>
          <w:color w:val="212226"/>
          <w:sz w:val="26"/>
        </w:rPr>
      </w:r>
      <w:r>
        <w:rPr>
          <w:rFonts w:ascii="Times New Roman" w:hAnsi="Times New Roman" w:eastAsia="Times New Roman" w:cs="Times New Roman"/>
          <w:color w:val="212226"/>
          <w:sz w:val="2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</w:rPr>
      </w:r>
      <w:r>
        <w:rPr>
          <w:rFonts w:ascii="Times New Roman" w:hAnsi="Times New Roman" w:eastAsia="Times New Roman" w:cs="Times New Roman"/>
          <w:sz w:val="26"/>
        </w:rPr>
        <w:t xml:space="preserve">1.5.3. Минералогия и петрология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Bdr/>
        <w:spacing w:after="0" w:afterAutospacing="0" w:line="240" w:lineRule="auto"/>
        <w:ind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w:t xml:space="preserve">1.5.5. Геология твердых полезных ископаемых</w:t>
      </w:r>
      <w:r>
        <w:rPr>
          <w:rFonts w:ascii="Times New Roman" w:hAnsi="Times New Roman" w:eastAsia="Times New Roman" w:cs="Times New Roman"/>
          <w:sz w:val="26"/>
        </w:rPr>
      </w:r>
      <w:r>
        <w:rPr>
          <w:rFonts w:ascii="Times New Roman" w:hAnsi="Times New Roman" w:eastAsia="Times New Roman" w:cs="Times New Roman"/>
          <w:sz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</w:rPr>
        <w:t xml:space="preserve">Тематика исследований:</w:t>
      </w: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highlight w:val="none"/>
        </w:rPr>
      </w:pP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  <w:t xml:space="preserve">Геохимия минералогенеза в рудообразующих системах древних и современных островодужно-океанических комплексах</w:t>
      </w: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szCs w:val="26"/>
        </w:rPr>
      </w:pPr>
      <w:r>
        <w:rPr>
          <w:rFonts w:ascii="Times New Roman" w:hAnsi="Times New Roman" w:eastAsia="Times New Roman" w:cs="Times New Roman"/>
          <w:color w:val="212226"/>
          <w:sz w:val="26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val="en-US"/>
        </w:rPr>
        <w:t xml:space="preserve">1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Вакансия ID VAC_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none"/>
          <w:lang w:val="en-US"/>
        </w:rPr>
        <w:t xml:space="preserve">136139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val="en-US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научный сотрудник со степенью кандидата геолого-минералогических наук (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1.0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штатн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единиц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  <w:szCs w:val="26"/>
          <w:highlight w:val="white"/>
          <w:lang w:eastAsia="ru-RU"/>
        </w:rPr>
        <w:t xml:space="preserve">Должностные обязанности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кой реализации. Участвует в написании научных отчетов по государственному заданию.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color w:val="212226"/>
          <w:sz w:val="26"/>
          <w:szCs w:val="26"/>
          <w:highlight w:val="white"/>
          <w:lang w:eastAsia="ru-RU"/>
        </w:rPr>
        <w:t xml:space="preserve">Должен знать: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цели и задачи проводимых исследований и разработок, отечественную и зарубежную информацию по теме исследования;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6"/>
          <w:szCs w:val="26"/>
          <w:highlight w:val="white"/>
          <w:lang w:eastAsia="ru-RU"/>
        </w:rPr>
        <w:t xml:space="preserve">Требования к квалификации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ченая степень кандидата геолого-минералогических наук. </w:t>
      </w:r>
      <w:r>
        <w:rPr>
          <w:rFonts w:ascii="Times New Roman" w:hAnsi="Times New Roman" w:eastAsia="Times New Roman" w:cs="Times New Roman"/>
          <w:color w:val="2c363a"/>
          <w:sz w:val="26"/>
          <w:szCs w:val="26"/>
          <w:highlight w:val="white"/>
        </w:rPr>
        <w:t xml:space="preserve">Владение методами минералого-геохимических исследований, умение планировать эффективную стратегию изучения вещественного состава месторождений цветных и благородных металлов для воссоздания истории их формирования.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Индекс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Хирша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WoS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val="en-US"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≥2, РИНЦ ≥4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Наличие за последние 5 лет: не менее 3 научных трудов (монографий, статей в рецензируемых журналах, индексируемых в базах данных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Web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Science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Core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, ядро РИНЦ, патентов или других охраняемых результатов интеллектуальной деятельности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Ц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итируемость публикаций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WoS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val="en-US"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≥10, РИНЦ ≥40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 Участие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в числе авторов докладов на общероссийских и международных научных конференциях (симпозиумах)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Участие в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числе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руководителя или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исполнител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работ по программам приоритетных фундаментальных исследований РАН, научным грантам РНФ, международных фондов, федеральных программ и программ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РФ, российским или международным контрактам (договорам, соглашениям).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12226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ежим работы –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полная занятость. Должностной оклад –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34151.0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(кандидат наук).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РАН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color w:val="212226"/>
          <w:sz w:val="26"/>
          <w:szCs w:val="26"/>
        </w:rPr>
      </w:pPr>
      <w:r>
        <w:rPr>
          <w:rFonts w:ascii="Times New Roman" w:hAnsi="Times New Roman" w:eastAsia="Times New Roman" w:cs="Times New Roman"/>
          <w:color w:val="212226"/>
          <w:sz w:val="26"/>
          <w:highlight w:val="non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val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младший научный сотрудник со степенью кандидата геолого-минералогических наук (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1.0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штатная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единица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Должен знать: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е опыт научной работы в период обучения. </w:t>
      </w:r>
      <w:r>
        <w:rPr>
          <w:rFonts w:ascii="Times New Roman" w:hAnsi="Times New Roman" w:eastAsia="Times New Roman" w:cs="Times New Roman"/>
          <w:color w:val="2c363a"/>
          <w:sz w:val="26"/>
          <w:szCs w:val="26"/>
          <w:highlight w:val="white"/>
        </w:rPr>
        <w:t xml:space="preserve">Опыт и навыки интерпретации результатов оптико-микроскопических исследований руд цветных и благородных металлов.</w:t>
      </w:r>
      <w:r>
        <w:rPr>
          <w:rFonts w:ascii="Times New Roman" w:hAnsi="Times New Roman" w:eastAsia="Times New Roman" w:cs="Times New Roman"/>
          <w:color w:val="2c363a"/>
          <w:sz w:val="26"/>
          <w:szCs w:val="26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Наличие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в базах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данных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Web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Science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Core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, РИНЦ список ВАК)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, участие в числе авторов докладов на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color w:val="212226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12226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ежим работы – полная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занятость. Должностной оклад –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33286.0  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  <w:lang w:eastAsia="ru-RU"/>
        </w:rPr>
        <w:t xml:space="preserve"> РАН.</w:t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cs="Times New Roman"/>
          <w:b/>
          <w:sz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lang w:val="ru-RU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sz w:val="26"/>
          <w:highlight w:val="white"/>
          <w:lang w:val="ru-RU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Вакантная должность: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младший научный сотрудник (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1.0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штатная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единица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).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Должностные обязанности: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проекта или темы. Проводит исследования, эксперименты, наблюдения, измерения, составляет их описание и формулируе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Участвует в написании научных отчетов по государственному заданию.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Должен знать: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цели и задачи проводимых исследований и разраб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</w:t>
      </w:r>
      <w:r>
        <w:rPr>
          <w:rFonts w:ascii="Times New Roman" w:hAnsi="Times New Roman" w:eastAsia="Times New Roman" w:cs="Times New Roman"/>
          <w:color w:val="212226"/>
          <w:highlight w:val="white"/>
        </w:rPr>
      </w:r>
      <w:r>
        <w:rPr>
          <w:rFonts w:ascii="Times New Roman" w:hAnsi="Times New Roman" w:eastAsia="Times New Roman" w:cs="Times New Roman"/>
          <w:color w:val="2122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Требования к квалификации: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высшее профессиональное образование и опыт работы по соответствующей специальности, в том числ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е опыт научной работы в период обучения. При наличии ученой степени, окончании аспирантуры и прохождении стажировки – без предъявления требований к стажу работы. Наличие не менее 1 научного труда (монографии, статьи в рецензируемых журналах, индексируемых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в базах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данных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Web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of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Science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Core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Collection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Scopus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РИНЦ (список ВАК), патентов или других охраняемых результатов интеллектуальной деятельности), участие в числе авторов докладов на научных совещаниях, семинарах, молодежных конференциях международного и общероссийского масштаба.</w:t>
      </w:r>
      <w:r>
        <w:rPr>
          <w:rFonts w:ascii="Times New Roman" w:hAnsi="Times New Roman" w:eastAsia="Times New Roman" w:cs="Times New Roman"/>
          <w:color w:val="212226"/>
          <w:highlight w:val="white"/>
        </w:rPr>
      </w:r>
      <w:r>
        <w:rPr>
          <w:rFonts w:ascii="Times New Roman" w:hAnsi="Times New Roman" w:eastAsia="Times New Roman" w:cs="Times New Roman"/>
          <w:color w:val="2122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sz w:val="26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212226"/>
          <w:sz w:val="26"/>
          <w:szCs w:val="24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ежим работы –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полная занятость. Должностной оклад – 29560.0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рублей/месяц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, со степенью кандидата наук – 33286.0 рублей/месяц.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Стимулирующие выплаты в соответствии с Положением об оплате труда научных сотрудников ЮУ ФНЦ МиГ 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lang w:eastAsia="ru-RU"/>
        </w:rPr>
        <w:t xml:space="preserve"> РАН.</w:t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  <w:r>
        <w:rPr>
          <w:rFonts w:ascii="Times New Roman" w:hAnsi="Times New Roman" w:eastAsia="Times New Roman" w:cs="Times New Roman"/>
          <w:color w:val="212226"/>
          <w:sz w:val="26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212226"/>
          <w:highlight w:val="cyan"/>
        </w:rPr>
      </w:pPr>
      <w:r>
        <w:rPr>
          <w:rFonts w:ascii="Times New Roman" w:hAnsi="Times New Roman" w:eastAsia="Times New Roman" w:cs="Times New Roman"/>
          <w:b/>
          <w:bCs/>
          <w:color w:val="212226"/>
          <w:sz w:val="26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212226"/>
          <w:highlight w:val="cyan"/>
        </w:rPr>
      </w:r>
      <w:r>
        <w:rPr>
          <w:rFonts w:ascii="Times New Roman" w:hAnsi="Times New Roman" w:eastAsia="Times New Roman" w:cs="Times New Roman"/>
          <w:color w:val="212226"/>
          <w:highlight w:val="cy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cs="Times New Roman"/>
          <w:b/>
          <w:bCs/>
          <w:sz w:val="26"/>
          <w:szCs w:val="26"/>
          <w:highlight w:val="cyan"/>
        </w:rPr>
      </w:pPr>
      <w:r>
        <w:rPr>
          <w:rFonts w:ascii="Times New Roman" w:hAnsi="Times New Roman" w:eastAsia="Times New Roman" w:cs="Times New Roman"/>
          <w:sz w:val="26"/>
          <w:highlight w:val="cyan"/>
          <w:lang w:val="ru-RU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cyan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cyan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afterAutospacing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212226"/>
          <w:sz w:val="26"/>
        </w:rPr>
      </w:pPr>
      <w:r>
        <w:rPr>
          <w:rFonts w:ascii="Times New Roman" w:hAnsi="Times New Roman" w:eastAsia="Times New Roman" w:cs="Times New Roman"/>
          <w:b w:val="0"/>
          <w:color w:val="212226"/>
          <w:sz w:val="26"/>
        </w:rPr>
      </w:r>
      <w:r>
        <w:rPr>
          <w:rFonts w:ascii="Times New Roman" w:hAnsi="Times New Roman" w:eastAsia="Times New Roman" w:cs="Times New Roman"/>
          <w:b w:val="0"/>
          <w:color w:val="212226"/>
          <w:sz w:val="26"/>
        </w:rPr>
      </w:r>
      <w:r>
        <w:rPr>
          <w:rFonts w:ascii="Times New Roman" w:hAnsi="Times New Roman" w:eastAsia="Times New Roman" w:cs="Times New Roman"/>
          <w:b w:val="0"/>
          <w:color w:val="212226"/>
          <w:sz w:val="26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sz w:val="26"/>
          <w:highlight w:val="white"/>
          <w:u w:val="singl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color w:val="212226"/>
          <w:sz w:val="26"/>
          <w:szCs w:val="24"/>
          <w:highlight w:val="white"/>
          <w:u w:val="singl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аявки на участие в конкурсе принимаются в отделе кадров ЮУ ФНЦ МиГ 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УрО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 РАН 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br/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(г. Миасс, территория 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Ильменский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 заповедник, Челябинская область, 456317).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Начальник отдела кадров 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Потапкина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 Марина Николаевна.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: </w:t>
      </w:r>
      <w:hyperlink r:id="rId9" w:tooltip="mailto:potapkina@mineralogy.ru" w:history="1">
        <w:r>
          <w:rPr>
            <w:rStyle w:val="899"/>
            <w:rFonts w:ascii="Times New Roman" w:hAnsi="Times New Roman" w:eastAsia="Times New Roman" w:cs="Times New Roman"/>
            <w:b/>
            <w:sz w:val="24"/>
            <w:szCs w:val="24"/>
            <w:highlight w:val="white"/>
            <w:lang w:val="en-US" w:eastAsia="ru-RU"/>
          </w:rPr>
          <w:t xml:space="preserve">potapkina</w:t>
        </w:r>
        <w:r>
          <w:rPr>
            <w:rStyle w:val="899"/>
            <w:rFonts w:ascii="Times New Roman" w:hAnsi="Times New Roman" w:eastAsia="Times New Roman" w:cs="Times New Roman"/>
            <w:b/>
            <w:sz w:val="24"/>
            <w:szCs w:val="24"/>
            <w:highlight w:val="white"/>
            <w:lang w:eastAsia="ru-RU"/>
          </w:rPr>
          <w:t xml:space="preserve">@</w:t>
        </w:r>
        <w:r>
          <w:rPr>
            <w:rStyle w:val="899"/>
            <w:rFonts w:ascii="Times New Roman" w:hAnsi="Times New Roman" w:eastAsia="Times New Roman" w:cs="Times New Roman"/>
            <w:b/>
            <w:sz w:val="24"/>
            <w:szCs w:val="24"/>
            <w:highlight w:val="white"/>
            <w:lang w:val="en-US" w:eastAsia="ru-RU"/>
          </w:rPr>
          <w:t xml:space="preserve">mineralogy</w:t>
        </w:r>
        <w:r>
          <w:rPr>
            <w:rStyle w:val="899"/>
            <w:rFonts w:ascii="Times New Roman" w:hAnsi="Times New Roman" w:eastAsia="Times New Roman" w:cs="Times New Roman"/>
            <w:b/>
            <w:sz w:val="24"/>
            <w:szCs w:val="24"/>
            <w:highlight w:val="white"/>
            <w:lang w:eastAsia="ru-RU"/>
          </w:rPr>
          <w:t xml:space="preserve">.</w:t>
        </w:r>
        <w:r>
          <w:rPr>
            <w:rStyle w:val="899"/>
            <w:rFonts w:ascii="Times New Roman" w:hAnsi="Times New Roman" w:eastAsia="Times New Roman" w:cs="Times New Roman"/>
            <w:b/>
            <w:sz w:val="24"/>
            <w:szCs w:val="24"/>
            <w:highlight w:val="whit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Телефон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val="en-US" w:eastAsia="ru-RU"/>
        </w:rPr>
        <w:t xml:space="preserve">: +7(3513)298098 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eastAsia="ru-RU"/>
        </w:rPr>
        <w:t xml:space="preserve">доб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  <w:lang w:val="en-US" w:eastAsia="ru-RU"/>
        </w:rPr>
        <w:t xml:space="preserve">.201</w:t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color w:val="212226"/>
          <w:sz w:val="24"/>
          <w:szCs w:val="24"/>
          <w:highlight w:val="whit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Intense Emphasis"/>
    <w:basedOn w:val="8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0">
    <w:name w:val="Intense Reference"/>
    <w:basedOn w:val="8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1">
    <w:name w:val="Subtle Emphasis"/>
    <w:basedOn w:val="8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2">
    <w:name w:val="Subtle Reference"/>
    <w:basedOn w:val="8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3">
    <w:name w:val="Book Title"/>
    <w:basedOn w:val="8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4">
    <w:name w:val="FollowedHyperlink"/>
    <w:basedOn w:val="8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5">
    <w:name w:val="Heading 1"/>
    <w:basedOn w:val="892"/>
    <w:next w:val="892"/>
    <w:link w:val="71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basedOn w:val="893"/>
    <w:link w:val="71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7">
    <w:name w:val="Heading 2"/>
    <w:basedOn w:val="892"/>
    <w:next w:val="892"/>
    <w:link w:val="71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93"/>
    <w:link w:val="717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9">
    <w:name w:val="Heading 3"/>
    <w:basedOn w:val="892"/>
    <w:next w:val="892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93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892"/>
    <w:next w:val="892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93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92"/>
    <w:next w:val="892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93"/>
    <w:link w:val="72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92"/>
    <w:next w:val="892"/>
    <w:link w:val="72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93"/>
    <w:link w:val="72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92"/>
    <w:next w:val="892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93"/>
    <w:link w:val="72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92"/>
    <w:next w:val="892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93"/>
    <w:link w:val="72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92"/>
    <w:next w:val="892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93"/>
    <w:link w:val="73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892"/>
    <w:uiPriority w:val="34"/>
    <w:qFormat/>
    <w:pPr>
      <w:pBdr/>
      <w:spacing/>
      <w:ind w:left="720"/>
      <w:contextualSpacing w:val="true"/>
    </w:pPr>
  </w:style>
  <w:style w:type="paragraph" w:styleId="734">
    <w:name w:val="No Spacing"/>
    <w:uiPriority w:val="1"/>
    <w:qFormat/>
    <w:pPr>
      <w:pBdr/>
      <w:spacing w:after="0" w:before="0" w:line="240" w:lineRule="auto"/>
      <w:ind/>
    </w:pPr>
  </w:style>
  <w:style w:type="paragraph" w:styleId="735">
    <w:name w:val="Title"/>
    <w:basedOn w:val="892"/>
    <w:next w:val="892"/>
    <w:link w:val="73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6">
    <w:name w:val="Title Char"/>
    <w:basedOn w:val="893"/>
    <w:link w:val="735"/>
    <w:uiPriority w:val="10"/>
    <w:pPr>
      <w:pBdr/>
      <w:spacing/>
      <w:ind/>
    </w:pPr>
    <w:rPr>
      <w:sz w:val="48"/>
      <w:szCs w:val="48"/>
    </w:rPr>
  </w:style>
  <w:style w:type="paragraph" w:styleId="737">
    <w:name w:val="Subtitle"/>
    <w:basedOn w:val="892"/>
    <w:next w:val="892"/>
    <w:link w:val="73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8">
    <w:name w:val="Subtitle Char"/>
    <w:basedOn w:val="893"/>
    <w:link w:val="737"/>
    <w:uiPriority w:val="11"/>
    <w:pPr>
      <w:pBdr/>
      <w:spacing/>
      <w:ind/>
    </w:pPr>
    <w:rPr>
      <w:sz w:val="24"/>
      <w:szCs w:val="24"/>
    </w:rPr>
  </w:style>
  <w:style w:type="paragraph" w:styleId="739">
    <w:name w:val="Quote"/>
    <w:basedOn w:val="892"/>
    <w:next w:val="892"/>
    <w:link w:val="740"/>
    <w:uiPriority w:val="29"/>
    <w:qFormat/>
    <w:pPr>
      <w:pBdr/>
      <w:spacing/>
      <w:ind w:right="720" w:left="720"/>
    </w:pPr>
    <w:rPr>
      <w:i/>
    </w:rPr>
  </w:style>
  <w:style w:type="character" w:styleId="740">
    <w:name w:val="Quote Char"/>
    <w:link w:val="739"/>
    <w:uiPriority w:val="29"/>
    <w:pPr>
      <w:pBdr/>
      <w:spacing/>
      <w:ind/>
    </w:pPr>
    <w:rPr>
      <w:i/>
    </w:rPr>
  </w:style>
  <w:style w:type="paragraph" w:styleId="741">
    <w:name w:val="Intense Quote"/>
    <w:basedOn w:val="892"/>
    <w:next w:val="892"/>
    <w:link w:val="74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2">
    <w:name w:val="Intense Quote Char"/>
    <w:link w:val="741"/>
    <w:uiPriority w:val="30"/>
    <w:pPr>
      <w:pBdr/>
      <w:spacing/>
      <w:ind/>
    </w:pPr>
    <w:rPr>
      <w:i/>
    </w:rPr>
  </w:style>
  <w:style w:type="paragraph" w:styleId="743">
    <w:name w:val="Header"/>
    <w:basedOn w:val="892"/>
    <w:link w:val="74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4">
    <w:name w:val="Header Char"/>
    <w:basedOn w:val="893"/>
    <w:link w:val="743"/>
    <w:uiPriority w:val="99"/>
    <w:pPr>
      <w:pBdr/>
      <w:spacing/>
      <w:ind/>
    </w:pPr>
  </w:style>
  <w:style w:type="paragraph" w:styleId="745">
    <w:name w:val="Footer"/>
    <w:basedOn w:val="892"/>
    <w:link w:val="74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6">
    <w:name w:val="Footer Char"/>
    <w:basedOn w:val="893"/>
    <w:link w:val="745"/>
    <w:uiPriority w:val="99"/>
    <w:pPr>
      <w:pBdr/>
      <w:spacing/>
      <w:ind/>
    </w:pPr>
  </w:style>
  <w:style w:type="paragraph" w:styleId="747">
    <w:name w:val="Caption"/>
    <w:basedOn w:val="892"/>
    <w:next w:val="89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745"/>
    <w:uiPriority w:val="99"/>
    <w:pPr>
      <w:pBdr/>
      <w:spacing/>
      <w:ind/>
    </w:pPr>
  </w:style>
  <w:style w:type="table" w:styleId="749">
    <w:name w:val="Table Grid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Table Grid Light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1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2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1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2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3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5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6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5">
    <w:name w:val="footnote text"/>
    <w:basedOn w:val="892"/>
    <w:link w:val="8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6">
    <w:name w:val="Footnote Text Char"/>
    <w:link w:val="875"/>
    <w:uiPriority w:val="99"/>
    <w:pPr>
      <w:pBdr/>
      <w:spacing/>
      <w:ind/>
    </w:pPr>
    <w:rPr>
      <w:sz w:val="18"/>
    </w:rPr>
  </w:style>
  <w:style w:type="character" w:styleId="877">
    <w:name w:val="footnote reference"/>
    <w:basedOn w:val="893"/>
    <w:uiPriority w:val="99"/>
    <w:unhideWhenUsed/>
    <w:pPr>
      <w:pBdr/>
      <w:spacing/>
      <w:ind/>
    </w:pPr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9">
    <w:name w:val="Endnote Text Char"/>
    <w:link w:val="878"/>
    <w:uiPriority w:val="99"/>
    <w:pPr>
      <w:pBdr/>
      <w:spacing/>
      <w:ind/>
    </w:pPr>
    <w:rPr>
      <w:sz w:val="20"/>
    </w:rPr>
  </w:style>
  <w:style w:type="character" w:styleId="880">
    <w:name w:val="endnote reference"/>
    <w:basedOn w:val="893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pBdr/>
      <w:spacing w:after="57"/>
      <w:ind w:right="0" w:firstLine="0" w:left="0"/>
    </w:pPr>
  </w:style>
  <w:style w:type="paragraph" w:styleId="882">
    <w:name w:val="toc 2"/>
    <w:basedOn w:val="892"/>
    <w:next w:val="892"/>
    <w:uiPriority w:val="39"/>
    <w:unhideWhenUsed/>
    <w:pPr>
      <w:pBdr/>
      <w:spacing w:after="57"/>
      <w:ind w:right="0" w:firstLine="0" w:left="283"/>
    </w:pPr>
  </w:style>
  <w:style w:type="paragraph" w:styleId="883">
    <w:name w:val="toc 3"/>
    <w:basedOn w:val="892"/>
    <w:next w:val="892"/>
    <w:uiPriority w:val="39"/>
    <w:unhideWhenUsed/>
    <w:pPr>
      <w:pBdr/>
      <w:spacing w:after="57"/>
      <w:ind w:right="0" w:firstLine="0" w:left="567"/>
    </w:pPr>
  </w:style>
  <w:style w:type="paragraph" w:styleId="884">
    <w:name w:val="toc 4"/>
    <w:basedOn w:val="892"/>
    <w:next w:val="892"/>
    <w:uiPriority w:val="39"/>
    <w:unhideWhenUsed/>
    <w:pPr>
      <w:pBdr/>
      <w:spacing w:after="57"/>
      <w:ind w:right="0" w:firstLine="0" w:left="850"/>
    </w:pPr>
  </w:style>
  <w:style w:type="paragraph" w:styleId="885">
    <w:name w:val="toc 5"/>
    <w:basedOn w:val="892"/>
    <w:next w:val="892"/>
    <w:uiPriority w:val="39"/>
    <w:unhideWhenUsed/>
    <w:pPr>
      <w:pBdr/>
      <w:spacing w:after="57"/>
      <w:ind w:right="0" w:firstLine="0" w:left="1134"/>
    </w:pPr>
  </w:style>
  <w:style w:type="paragraph" w:styleId="886">
    <w:name w:val="toc 6"/>
    <w:basedOn w:val="892"/>
    <w:next w:val="892"/>
    <w:uiPriority w:val="39"/>
    <w:unhideWhenUsed/>
    <w:pPr>
      <w:pBdr/>
      <w:spacing w:after="57"/>
      <w:ind w:right="0" w:firstLine="0" w:left="1417"/>
    </w:pPr>
  </w:style>
  <w:style w:type="paragraph" w:styleId="887">
    <w:name w:val="toc 7"/>
    <w:basedOn w:val="892"/>
    <w:next w:val="892"/>
    <w:uiPriority w:val="39"/>
    <w:unhideWhenUsed/>
    <w:pPr>
      <w:pBdr/>
      <w:spacing w:after="57"/>
      <w:ind w:right="0" w:firstLine="0" w:left="1701"/>
    </w:pPr>
  </w:style>
  <w:style w:type="paragraph" w:styleId="888">
    <w:name w:val="toc 8"/>
    <w:basedOn w:val="892"/>
    <w:next w:val="892"/>
    <w:uiPriority w:val="39"/>
    <w:unhideWhenUsed/>
    <w:pPr>
      <w:pBdr/>
      <w:spacing w:after="57"/>
      <w:ind w:right="0" w:firstLine="0" w:left="1984"/>
    </w:pPr>
  </w:style>
  <w:style w:type="paragraph" w:styleId="889">
    <w:name w:val="toc 9"/>
    <w:basedOn w:val="892"/>
    <w:next w:val="892"/>
    <w:uiPriority w:val="39"/>
    <w:unhideWhenUsed/>
    <w:pPr>
      <w:pBdr/>
      <w:spacing w:after="57"/>
      <w:ind w:right="0" w:firstLine="0" w:left="2268"/>
    </w:pPr>
  </w:style>
  <w:style w:type="paragraph" w:styleId="890">
    <w:name w:val="TOC Heading"/>
    <w:uiPriority w:val="39"/>
    <w:unhideWhenUsed/>
    <w:pPr>
      <w:pBdr/>
      <w:spacing/>
      <w:ind/>
    </w:pPr>
  </w:style>
  <w:style w:type="paragraph" w:styleId="891">
    <w:name w:val="table of figures"/>
    <w:basedOn w:val="892"/>
    <w:next w:val="892"/>
    <w:uiPriority w:val="99"/>
    <w:unhideWhenUsed/>
    <w:pPr>
      <w:pBdr/>
      <w:spacing w:after="0" w:afterAutospacing="0"/>
      <w:ind/>
    </w:pPr>
  </w:style>
  <w:style w:type="paragraph" w:styleId="892" w:default="1">
    <w:name w:val="Normal"/>
    <w:qFormat/>
    <w:pPr>
      <w:pBdr/>
      <w:spacing/>
      <w:ind/>
    </w:pPr>
  </w:style>
  <w:style w:type="character" w:styleId="893" w:default="1">
    <w:name w:val="Default Paragraph Font"/>
    <w:uiPriority w:val="1"/>
    <w:semiHidden/>
    <w:unhideWhenUsed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5" w:default="1">
    <w:name w:val="No List"/>
    <w:uiPriority w:val="99"/>
    <w:semiHidden/>
    <w:unhideWhenUsed/>
    <w:pPr>
      <w:pBdr/>
      <w:spacing/>
      <w:ind/>
    </w:pPr>
  </w:style>
  <w:style w:type="paragraph" w:styleId="896">
    <w:name w:val="Normal (Web)"/>
    <w:basedOn w:val="892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>
    <w:name w:val="Strong"/>
    <w:basedOn w:val="893"/>
    <w:uiPriority w:val="22"/>
    <w:qFormat/>
    <w:pPr>
      <w:pBdr/>
      <w:spacing/>
      <w:ind/>
    </w:pPr>
    <w:rPr>
      <w:b/>
      <w:bCs/>
    </w:rPr>
  </w:style>
  <w:style w:type="character" w:styleId="898">
    <w:name w:val="Emphasis"/>
    <w:basedOn w:val="893"/>
    <w:uiPriority w:val="20"/>
    <w:qFormat/>
    <w:pPr>
      <w:pBdr/>
      <w:spacing/>
      <w:ind/>
    </w:pPr>
    <w:rPr>
      <w:i/>
      <w:iCs/>
    </w:rPr>
  </w:style>
  <w:style w:type="character" w:styleId="899">
    <w:name w:val="Hyperlink"/>
    <w:basedOn w:val="893"/>
    <w:uiPriority w:val="99"/>
    <w:unhideWhenUsed/>
    <w:pPr>
      <w:pBdr/>
      <w:spacing/>
      <w:ind/>
    </w:pPr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potapkina@mineralogy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SPecialiST RePack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revision>12</cp:revision>
  <dcterms:created xsi:type="dcterms:W3CDTF">2024-01-27T07:57:00Z</dcterms:created>
  <dcterms:modified xsi:type="dcterms:W3CDTF">2025-02-19T05:10:35Z</dcterms:modified>
</cp:coreProperties>
</file>